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color w:val="333333"/>
          <w:kern w:val="0"/>
          <w:sz w:val="28"/>
          <w:szCs w:val="28"/>
          <w:shd w:val="clear" w:color="auto" w:fill="FFFFFF"/>
        </w:rPr>
      </w:pPr>
      <w:bookmarkStart w:id="1" w:name="_GoBack"/>
      <w:r>
        <w:rPr>
          <w:rFonts w:hint="eastAsia" w:ascii="仿宋" w:hAnsi="仿宋" w:eastAsia="仿宋" w:cs="宋体"/>
          <w:color w:val="333333"/>
          <w:kern w:val="0"/>
          <w:sz w:val="28"/>
          <w:szCs w:val="28"/>
          <w:shd w:val="clear" w:color="auto" w:fill="FFFFFF"/>
        </w:rPr>
        <w:t>附件1：</w:t>
      </w:r>
      <w:bookmarkStart w:id="0" w:name="_Hlk65768483"/>
      <w:r>
        <w:rPr>
          <w:rFonts w:ascii="仿宋" w:hAnsi="仿宋" w:eastAsia="仿宋" w:cs="宋体"/>
          <w:color w:val="333333"/>
          <w:kern w:val="0"/>
          <w:sz w:val="28"/>
          <w:szCs w:val="28"/>
          <w:shd w:val="clear" w:color="auto" w:fill="FFFFFF"/>
        </w:rPr>
        <w:t>2021年知识更新公共科目课程目录</w:t>
      </w:r>
      <w:bookmarkEnd w:id="0"/>
    </w:p>
    <w:bookmarkEnd w:id="1"/>
    <w:p>
      <w:pPr>
        <w:jc w:val="center"/>
        <w:rPr>
          <w:rFonts w:ascii="仿宋" w:hAnsi="仿宋" w:eastAsia="仿宋" w:cs="宋体"/>
          <w:b/>
          <w:bCs/>
          <w:color w:val="333333"/>
          <w:kern w:val="0"/>
          <w:sz w:val="28"/>
          <w:szCs w:val="28"/>
          <w:shd w:val="clear" w:color="auto" w:fill="FFFFFF"/>
        </w:rPr>
      </w:pPr>
      <w:r>
        <w:rPr>
          <w:rFonts w:ascii="仿宋" w:hAnsi="仿宋" w:eastAsia="仿宋" w:cs="宋体"/>
          <w:b/>
          <w:bCs/>
          <w:color w:val="333333"/>
          <w:kern w:val="0"/>
          <w:sz w:val="28"/>
          <w:szCs w:val="28"/>
          <w:shd w:val="clear" w:color="auto" w:fill="FFFFFF"/>
        </w:rPr>
        <w:t>2021年知识更新公共科目课程目录</w:t>
      </w:r>
    </w:p>
    <w:tbl>
      <w:tblPr>
        <w:tblStyle w:val="2"/>
        <w:tblW w:w="8931" w:type="dxa"/>
        <w:tblInd w:w="-5" w:type="dxa"/>
        <w:tblLayout w:type="fixed"/>
        <w:tblCellMar>
          <w:top w:w="0" w:type="dxa"/>
          <w:left w:w="108" w:type="dxa"/>
          <w:bottom w:w="0" w:type="dxa"/>
          <w:right w:w="108" w:type="dxa"/>
        </w:tblCellMar>
      </w:tblPr>
      <w:tblGrid>
        <w:gridCol w:w="567"/>
        <w:gridCol w:w="3119"/>
        <w:gridCol w:w="4536"/>
        <w:gridCol w:w="709"/>
      </w:tblGrid>
      <w:tr>
        <w:tblPrEx>
          <w:tblCellMar>
            <w:top w:w="0" w:type="dxa"/>
            <w:left w:w="108" w:type="dxa"/>
            <w:bottom w:w="0" w:type="dxa"/>
            <w:right w:w="108" w:type="dxa"/>
          </w:tblCellMar>
        </w:tblPrEx>
        <w:trPr>
          <w:trHeight w:val="780" w:hRule="atLeast"/>
        </w:trPr>
        <w:tc>
          <w:tcPr>
            <w:tcW w:w="8931" w:type="dxa"/>
            <w:gridSpan w:val="4"/>
            <w:tcBorders>
              <w:top w:val="single" w:color="auto" w:sz="4" w:space="0"/>
              <w:left w:val="single" w:color="auto" w:sz="4" w:space="0"/>
              <w:bottom w:val="single" w:color="auto" w:sz="4" w:space="0"/>
              <w:right w:val="single" w:color="auto" w:sz="4" w:space="0"/>
            </w:tcBorders>
            <w:shd w:val="clear" w:color="000000" w:fill="C5D9F1"/>
            <w:vAlign w:val="center"/>
          </w:tcPr>
          <w:p>
            <w:pPr>
              <w:widowControl/>
              <w:jc w:val="center"/>
              <w:rPr>
                <w:rFonts w:ascii="宋体" w:hAnsi="宋体" w:eastAsia="宋体" w:cs="宋体"/>
                <w:b/>
                <w:bCs/>
                <w:color w:val="FF0000"/>
                <w:kern w:val="0"/>
                <w:sz w:val="32"/>
                <w:szCs w:val="32"/>
              </w:rPr>
            </w:pPr>
            <w:r>
              <w:rPr>
                <w:rFonts w:hint="eastAsia" w:ascii="宋体" w:hAnsi="宋体" w:eastAsia="宋体" w:cs="宋体"/>
                <w:b/>
                <w:bCs/>
                <w:color w:val="FF0000"/>
                <w:kern w:val="0"/>
                <w:sz w:val="32"/>
                <w:szCs w:val="32"/>
              </w:rPr>
              <w:t>必修课：1门，3学时（以下课程为必修课，需考试）</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编号</w:t>
            </w:r>
          </w:p>
        </w:tc>
        <w:tc>
          <w:tcPr>
            <w:tcW w:w="3119" w:type="dxa"/>
            <w:tcBorders>
              <w:top w:val="nil"/>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课程名称</w:t>
            </w:r>
          </w:p>
        </w:tc>
        <w:tc>
          <w:tcPr>
            <w:tcW w:w="4536" w:type="dxa"/>
            <w:tcBorders>
              <w:top w:val="nil"/>
              <w:left w:val="nil"/>
              <w:bottom w:val="single" w:color="auto" w:sz="4" w:space="0"/>
              <w:right w:val="single" w:color="auto" w:sz="4" w:space="0"/>
            </w:tcBorders>
            <w:shd w:val="clear" w:color="000000" w:fill="F2F2F2"/>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主讲人</w:t>
            </w:r>
          </w:p>
        </w:tc>
        <w:tc>
          <w:tcPr>
            <w:tcW w:w="709" w:type="dxa"/>
            <w:tcBorders>
              <w:top w:val="nil"/>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课时</w:t>
            </w:r>
          </w:p>
        </w:tc>
      </w:tr>
      <w:tr>
        <w:tblPrEx>
          <w:tblCellMar>
            <w:top w:w="0" w:type="dxa"/>
            <w:left w:w="108" w:type="dxa"/>
            <w:bottom w:w="0" w:type="dxa"/>
            <w:right w:w="108" w:type="dxa"/>
          </w:tblCellMar>
        </w:tblPrEx>
        <w:trPr>
          <w:trHeight w:val="129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科学谋划“十四五”经济社会发展的宏伟蓝图——中共十九届五中全会、中央经济工作会议精神解读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姜长云，国家发展和改革委员会产业经济与技术经济研究所副所长，国家发展和改革委员会服务业专家咨询委员会副主任委员兼秘书长，中国国外农业经济研究会副会长，暨南大学、中国农业大学、南京农业大学博士生导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3</w:t>
            </w:r>
          </w:p>
        </w:tc>
      </w:tr>
      <w:tr>
        <w:tblPrEx>
          <w:tblCellMar>
            <w:top w:w="0" w:type="dxa"/>
            <w:left w:w="108" w:type="dxa"/>
            <w:bottom w:w="0" w:type="dxa"/>
            <w:right w:w="108" w:type="dxa"/>
          </w:tblCellMar>
        </w:tblPrEx>
        <w:trPr>
          <w:trHeight w:val="780" w:hRule="atLeast"/>
        </w:trPr>
        <w:tc>
          <w:tcPr>
            <w:tcW w:w="8931" w:type="dxa"/>
            <w:gridSpan w:val="4"/>
            <w:tcBorders>
              <w:top w:val="nil"/>
              <w:left w:val="single" w:color="auto" w:sz="4" w:space="0"/>
              <w:bottom w:val="single" w:color="auto" w:sz="4" w:space="0"/>
              <w:right w:val="single" w:color="auto" w:sz="4" w:space="0"/>
            </w:tcBorders>
            <w:shd w:val="clear" w:color="000000" w:fill="C5D9F1"/>
            <w:vAlign w:val="center"/>
          </w:tcPr>
          <w:p>
            <w:pPr>
              <w:widowControl/>
              <w:jc w:val="center"/>
              <w:rPr>
                <w:rFonts w:ascii="宋体" w:hAnsi="宋体" w:eastAsia="宋体" w:cs="宋体"/>
                <w:b/>
                <w:bCs/>
                <w:color w:val="FF0000"/>
                <w:kern w:val="0"/>
                <w:sz w:val="36"/>
                <w:szCs w:val="36"/>
              </w:rPr>
            </w:pPr>
            <w:r>
              <w:rPr>
                <w:rFonts w:hint="eastAsia" w:ascii="宋体" w:hAnsi="宋体" w:eastAsia="宋体" w:cs="宋体"/>
                <w:b/>
                <w:bCs/>
                <w:color w:val="FF0000"/>
                <w:kern w:val="0"/>
                <w:sz w:val="32"/>
                <w:szCs w:val="32"/>
              </w:rPr>
              <w:t>选修课：63</w:t>
            </w:r>
            <w:r>
              <w:rPr>
                <w:rFonts w:hint="eastAsia" w:ascii="宋体" w:hAnsi="宋体" w:eastAsia="宋体" w:cs="宋体"/>
                <w:b/>
                <w:bCs/>
                <w:color w:val="FF0000"/>
                <w:kern w:val="0"/>
                <w:sz w:val="36"/>
                <w:szCs w:val="36"/>
              </w:rPr>
              <w:t>门，129学时</w:t>
            </w:r>
          </w:p>
          <w:p>
            <w:pPr>
              <w:widowControl/>
              <w:jc w:val="center"/>
              <w:rPr>
                <w:rFonts w:ascii="宋体" w:hAnsi="宋体" w:eastAsia="宋体" w:cs="宋体"/>
                <w:b/>
                <w:bCs/>
                <w:color w:val="FF0000"/>
                <w:kern w:val="0"/>
                <w:sz w:val="32"/>
                <w:szCs w:val="32"/>
              </w:rPr>
            </w:pPr>
            <w:r>
              <w:rPr>
                <w:rFonts w:hint="eastAsia" w:ascii="宋体" w:hAnsi="宋体" w:eastAsia="宋体" w:cs="宋体"/>
                <w:b/>
                <w:bCs/>
                <w:color w:val="FF0000"/>
                <w:kern w:val="0"/>
                <w:sz w:val="36"/>
                <w:szCs w:val="36"/>
              </w:rPr>
              <w:t>（以下课程均是选修课，均无需考试）</w:t>
            </w:r>
          </w:p>
        </w:tc>
      </w:tr>
      <w:tr>
        <w:tblPrEx>
          <w:tblCellMar>
            <w:top w:w="0" w:type="dxa"/>
            <w:left w:w="108" w:type="dxa"/>
            <w:bottom w:w="0" w:type="dxa"/>
            <w:right w:w="108" w:type="dxa"/>
          </w:tblCellMar>
        </w:tblPrEx>
        <w:trPr>
          <w:trHeight w:val="780" w:hRule="atLeast"/>
        </w:trPr>
        <w:tc>
          <w:tcPr>
            <w:tcW w:w="8931" w:type="dxa"/>
            <w:gridSpan w:val="4"/>
            <w:tcBorders>
              <w:top w:val="single" w:color="auto" w:sz="4" w:space="0"/>
              <w:left w:val="single" w:color="auto" w:sz="4" w:space="0"/>
              <w:bottom w:val="single" w:color="auto" w:sz="4" w:space="0"/>
              <w:right w:val="single" w:color="auto" w:sz="4" w:space="0"/>
            </w:tcBorders>
            <w:shd w:val="clear" w:color="000000" w:fill="FCD5B4"/>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专题一 政治理论类（11门，20课时）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编号</w:t>
            </w:r>
          </w:p>
        </w:tc>
        <w:tc>
          <w:tcPr>
            <w:tcW w:w="3119" w:type="dxa"/>
            <w:tcBorders>
              <w:top w:val="nil"/>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课程名称</w:t>
            </w:r>
          </w:p>
        </w:tc>
        <w:tc>
          <w:tcPr>
            <w:tcW w:w="4536" w:type="dxa"/>
            <w:tcBorders>
              <w:top w:val="nil"/>
              <w:left w:val="nil"/>
              <w:bottom w:val="single" w:color="auto" w:sz="4" w:space="0"/>
              <w:right w:val="single" w:color="auto" w:sz="4" w:space="0"/>
            </w:tcBorders>
            <w:shd w:val="clear" w:color="000000" w:fill="F2F2F2"/>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主讲人</w:t>
            </w:r>
          </w:p>
        </w:tc>
        <w:tc>
          <w:tcPr>
            <w:tcW w:w="709" w:type="dxa"/>
            <w:tcBorders>
              <w:top w:val="nil"/>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充分认识我国仍处于重要战略机遇期——深入学习党的十九届五中全会精神</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胡敏，中央党校（国家行政学院）中国特色社会主义理论研究中心研究员、中央党校报刊社副社长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夺取全面建设社会主义现代化强国新胜利——深入学习党的十九届五中全会精神</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胡敏，中央党校（国家行政学院）中国特色社会主义理论研究中心研究员、中央党校报刊社副社长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1335"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抗击疫情，彰显中国制度与价值观的优势</w:t>
            </w:r>
          </w:p>
        </w:tc>
        <w:tc>
          <w:tcPr>
            <w:tcW w:w="4536"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邓纯东，第十三届全国政协委员；全国政协社会和法制委员会委员；中国社会科学院马克思主义研究院原党委书记、院长；中国社会科学院21世纪马克思主义高等研究院常务院长；国务院政府特殊津贴获得者；研究员、博士生导师、博士后导师。</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1451"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着眼于“六稳”“六保”  努力改善民生</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吴忠民，中共中央党校一级教授，中央党校专家工作室领衔专家，国家百千万人才工程国家级入选者，国家“万人计划”哲学社会科学领军人才，中央直接联系的高级专家</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习近平总书记治国理政思想</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亓成章，中央党校国际战略研究所教授、博士生导师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中国共产党的光辉历程</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崔丽华，中央党校马克思主义学院副教授，北京师范大学哲学博士</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841"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“十三五”区域发展战略解读</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肖金成，国家发展和改革委员会国土开发与地区经济研究所所长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“十三五”战略解读</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胡鞍钢，清华大学公共管理学院教授、博士生导师，清华大学国情研究院院长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"十三五"时期经济发展若干重要问题</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张占斌，经济学博士、博士生导师、教授，现任国家行政学院经济学教研部主任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十八届五中全会精神解读之引领经济发展新常态</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张占斌，经济学博士、博士生导师、教授，现任国家行政学院经济学教研部主任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8931" w:type="dxa"/>
            <w:gridSpan w:val="4"/>
            <w:tcBorders>
              <w:top w:val="nil"/>
              <w:left w:val="single" w:color="auto" w:sz="4" w:space="0"/>
              <w:bottom w:val="single" w:color="auto" w:sz="4" w:space="0"/>
              <w:right w:val="single" w:color="auto" w:sz="4" w:space="0"/>
            </w:tcBorders>
            <w:shd w:val="clear" w:color="000000" w:fill="FCD5B4"/>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专题二 事业单位政策解读及人员权益保护（10门，20课时）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nil"/>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编号</w:t>
            </w:r>
          </w:p>
        </w:tc>
        <w:tc>
          <w:tcPr>
            <w:tcW w:w="3119" w:type="dxa"/>
            <w:tcBorders>
              <w:top w:val="nil"/>
              <w:left w:val="nil"/>
              <w:bottom w:val="nil"/>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课程名称</w:t>
            </w:r>
          </w:p>
        </w:tc>
        <w:tc>
          <w:tcPr>
            <w:tcW w:w="4536" w:type="dxa"/>
            <w:tcBorders>
              <w:top w:val="nil"/>
              <w:left w:val="nil"/>
              <w:bottom w:val="nil"/>
              <w:right w:val="single" w:color="auto" w:sz="4" w:space="0"/>
            </w:tcBorders>
            <w:shd w:val="clear" w:color="000000" w:fill="F2F2F2"/>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主讲人</w:t>
            </w:r>
          </w:p>
        </w:tc>
        <w:tc>
          <w:tcPr>
            <w:tcW w:w="709" w:type="dxa"/>
            <w:tcBorders>
              <w:top w:val="nil"/>
              <w:left w:val="nil"/>
              <w:bottom w:val="nil"/>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课时</w:t>
            </w:r>
          </w:p>
        </w:tc>
      </w:tr>
      <w:tr>
        <w:tblPrEx>
          <w:tblCellMar>
            <w:top w:w="0" w:type="dxa"/>
            <w:left w:w="108" w:type="dxa"/>
            <w:bottom w:w="0" w:type="dxa"/>
            <w:right w:w="108" w:type="dxa"/>
          </w:tblCellMar>
        </w:tblPrEx>
        <w:trPr>
          <w:trHeight w:val="107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《事业单位人事管理条例》解读</w:t>
            </w:r>
          </w:p>
        </w:tc>
        <w:tc>
          <w:tcPr>
            <w:tcW w:w="45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梁  江，人社部事业单位人事管理司岗位管理处处长</w:t>
            </w: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CellMar>
            <w:top w:w="0" w:type="dxa"/>
            <w:left w:w="108" w:type="dxa"/>
            <w:bottom w:w="0" w:type="dxa"/>
            <w:right w:w="108" w:type="dxa"/>
          </w:tblCellMar>
        </w:tblPrEx>
        <w:trPr>
          <w:trHeight w:val="1132"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《事业单位工作人员奖励规定》解读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任文硕，中国人民大学劳动人事学院人力资源管理博士，北京大学政府管理学院公共管理流动站博士后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机关事业单位养老保险制度解读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乔庆梅，中国人民大学中国社会保障研究中心副教授、硕士生导师，管理学博士。中国社会保障学会理事，粤港澳大湾区社会影响力研究院专家库成员。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工伤案件常见问题与操作实务</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时福茂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劳动合同和聘用合同的订立和维护</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李建钟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薪酬权利保护</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李建钟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知识产权保护</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李建钟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职业安全卫生与社会保障</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李建钟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权利救济</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李建钟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780" w:hRule="atLeast"/>
        </w:trPr>
        <w:tc>
          <w:tcPr>
            <w:tcW w:w="8931" w:type="dxa"/>
            <w:gridSpan w:val="4"/>
            <w:tcBorders>
              <w:top w:val="single" w:color="auto" w:sz="4" w:space="0"/>
              <w:left w:val="single" w:color="auto" w:sz="4" w:space="0"/>
              <w:bottom w:val="single" w:color="auto" w:sz="4" w:space="0"/>
              <w:right w:val="nil"/>
            </w:tcBorders>
            <w:shd w:val="clear" w:color="000000" w:fill="FABF8F"/>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专题三：科学技术类（20门，33课时）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区块链技术创新及应用系列课程一 区块链技术的政策背景</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陈钟，博士、北京大学信息科学技术学院教授/博导、区块链研究中心主任、网络与信息安全实验室主任、金融信息化研究中心主任</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区块链技术创新及应用系列课程二 新技术革命与产业变革</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陈钟，博士、北京大学信息科学技术学院教授/博导、区块链研究中心主任、网络与信息安全实验室主任、金融信息化研究中心主任</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区块链技术创新及应用系列课程三 区块链核心技术的发展与突破</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陈钟，博士、北京大学信息科学技术学院教授/博导、区块链研究中心主任、网络与信息安全实验室主任、金融信息化研究中心主任</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区块链技术创新及应用系列课程四 区块链赋能数字政府创新应用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陈钟，博士、北京大学信息科学技术学院教授/博导、区块链研究中心主任、网络与信息安全实验室主任、金融信息化研究中心主任</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105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5G与数字经济</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曹和平，发展金融博士；北京大学经济学教授，博士生导师、学术委员、环境资源与发展经济学系主任；北京大学数字中国研究院副院长；中国西部促进会副会长；中国经济规律研究会副会长。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人工智能博览系列课程——人工智能和大数据</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方玉山博士 Dr. David Fong，人工智能、影像处理、模式识别专家，美国盛世信息服务集团高级副总裁，美国捷连教育集团CEO。</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人工智能博览系列课程——人工智能概述</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纪志罡,现为英国利物浦约翰摩尔斯大学教授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人工智能博览系列课程——人工智能与信息安全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周博博士，利物浦约翰摩尔斯大学计算机科学学院副教授。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人工智能博览系列课程——人工智能硬件加速</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纪志罡,现为英国利物浦约翰摩尔斯大学教授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人工智能博览系列课程——人工智能人才培养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纪志罡,现为英国利物浦约翰摩尔斯大学教授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人工智能博览系列课程——人工智能农业应用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纪志罡,现为英国利物浦约翰摩尔斯大学教授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10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交通强国建设与智能交通发展趋势</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鲁光泉，博士，北京航空航天大学教授，博士生导师，交通科学与工程学院副院长，教育部高等学校交通运输类专业教学指导委员会交通工程教学指导分委员会委员，中国智能交通协会交通安全专业委员会秘书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新时代食用菌产业发展道路分析</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黄晨阳，博士，国家食用菌产业技术体系岗位科学家，中国农业科学院农业资源与农业区划研究所研究员、博士生导师。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中国玉米产业科技创新与高质量发展展望</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李少昆，中国农业科学院作物栽培与生理创新团队首席、二级研究员、博士生导师</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设施蔬菜绿色高效栽培技术</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李衍素，博士，研究员，中国农业科学院蔬菜花卉研究所硕士研究生导师，蔬菜栽培与生理创新团队执行首席科学家。</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蜂产品的营养价值</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张红城，博士，研究员，博士生导师。中国农业科学院蜜蜂研究所蜂产品室主任，中国养蜂学会蜂产品加工专委会主任。</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科学管理助力现代生猪生产</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张龙超，博士，副研究员，硕士生导师，中国农业科学院北京畜牧兽医研究所学术委员会委员</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绿色食品现状及申报要求</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李显军，理学博士，研究员，现任中国绿色食品发展中心审核评价处处长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大数据人工智能如何助力公共卫生管理</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郭旦怀，博士，就职于中国科学院计算机网络信息中心，中国科学院大学岗位教授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151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人工智能——过去、现在、未来</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戴琼海, 中国工程院院士，清华大学脑与认知科学研究院院长，研究方向人工智能（立体视觉）与认知计算。国家自然科学基金委杰出青年基金获得者，长江特聘教授。主持多项国家基金和国家科技攻关项目，主要开展了立体视觉、光场视觉和多维多尺度计算摄像仪器的研究，发表SCI期刊论文百余篇，授权发明专利百余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8931" w:type="dxa"/>
            <w:gridSpan w:val="4"/>
            <w:tcBorders>
              <w:top w:val="nil"/>
              <w:left w:val="single" w:color="auto" w:sz="4" w:space="0"/>
              <w:bottom w:val="single" w:color="auto" w:sz="4" w:space="0"/>
              <w:right w:val="single" w:color="000000" w:sz="4" w:space="0"/>
            </w:tcBorders>
            <w:shd w:val="clear" w:color="000000" w:fill="FCD5B4"/>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       专题四 法律法规与行为规范和纪律要求（9门，25课时）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nil"/>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编号</w:t>
            </w:r>
          </w:p>
        </w:tc>
        <w:tc>
          <w:tcPr>
            <w:tcW w:w="3119" w:type="dxa"/>
            <w:tcBorders>
              <w:top w:val="nil"/>
              <w:left w:val="nil"/>
              <w:bottom w:val="nil"/>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课程名称</w:t>
            </w:r>
          </w:p>
        </w:tc>
        <w:tc>
          <w:tcPr>
            <w:tcW w:w="4536" w:type="dxa"/>
            <w:tcBorders>
              <w:top w:val="nil"/>
              <w:left w:val="nil"/>
              <w:bottom w:val="nil"/>
              <w:right w:val="single" w:color="auto" w:sz="4" w:space="0"/>
            </w:tcBorders>
            <w:shd w:val="clear" w:color="000000" w:fill="F2F2F2"/>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主讲人</w:t>
            </w:r>
          </w:p>
        </w:tc>
        <w:tc>
          <w:tcPr>
            <w:tcW w:w="709" w:type="dxa"/>
            <w:tcBorders>
              <w:top w:val="nil"/>
              <w:left w:val="nil"/>
              <w:bottom w:val="nil"/>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课时</w:t>
            </w:r>
          </w:p>
        </w:tc>
      </w:tr>
      <w:tr>
        <w:tblPrEx>
          <w:tblCellMar>
            <w:top w:w="0" w:type="dxa"/>
            <w:left w:w="108" w:type="dxa"/>
            <w:bottom w:w="0" w:type="dxa"/>
            <w:right w:w="108" w:type="dxa"/>
          </w:tblCellMar>
        </w:tblPrEx>
        <w:trPr>
          <w:trHeight w:val="78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宪法是国家的根本法——弘扬宪法精神 推进宪法实施</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翟国强，中国社科院法学研究所研究员，中国宪法学研究会常务理事，国际宪法学协会理事，北京市立法学研究会副会长兼秘书长</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民法典紧扣时代脉搏  回应时代需求 体现时代特征</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薛军，北京大学法学院副院长，教授，博士生导师；北京大学电子商务法研究中心主任，北京大学法治与发展研究院秘书长，全国人大财政经济委员会立法专家顾问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《生产安全事故应急条例 》解读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欧盛南，北京科技大学土木与资源工程学院博士、实验室副主任，注册安全工程师，注册消防工程师培训讲师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105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加强行为规范、提升队伍作风——《事业单位工作人员处分暂行规定》解读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刘军仪，博士，人社部中国人事科学研究院公务员管理研究室副研究员，清华大学公共管理学院博士后，中国领导人才专委会理事。研究领域和教学重点是公共政策、公务员制度、国家治理和科教政策</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《中华人民共和国公职人员政务处分法》解读</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国培网</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新形势下如何提高保密能力和素质</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孙宝云，教授，北京电子科技学院公共管理学科带头人，国家保密战略专家咨询委员会委员</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渎职犯罪的惩罚和预防</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黎  宏，清华大学法学院教授、党委书记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《安全生产法》重点问题 解读  </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林鸿潮</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11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《职业病防治法》解读</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张凤玲</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8931" w:type="dxa"/>
            <w:gridSpan w:val="4"/>
            <w:tcBorders>
              <w:top w:val="nil"/>
              <w:left w:val="single" w:color="auto" w:sz="4" w:space="0"/>
              <w:bottom w:val="single" w:color="auto" w:sz="4" w:space="0"/>
              <w:right w:val="single" w:color="auto" w:sz="4" w:space="0"/>
            </w:tcBorders>
            <w:shd w:val="clear" w:color="000000" w:fill="FCD5B4"/>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专题五  爱国奉献精神（7门，13课时）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编号</w:t>
            </w:r>
          </w:p>
        </w:tc>
        <w:tc>
          <w:tcPr>
            <w:tcW w:w="3119" w:type="dxa"/>
            <w:tcBorders>
              <w:top w:val="nil"/>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课程名称</w:t>
            </w:r>
          </w:p>
        </w:tc>
        <w:tc>
          <w:tcPr>
            <w:tcW w:w="4536" w:type="dxa"/>
            <w:tcBorders>
              <w:top w:val="nil"/>
              <w:left w:val="nil"/>
              <w:bottom w:val="single" w:color="auto" w:sz="4" w:space="0"/>
              <w:right w:val="single" w:color="auto" w:sz="4" w:space="0"/>
            </w:tcBorders>
            <w:shd w:val="clear" w:color="000000" w:fill="F2F2F2"/>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主讲人</w:t>
            </w:r>
          </w:p>
        </w:tc>
        <w:tc>
          <w:tcPr>
            <w:tcW w:w="709" w:type="dxa"/>
            <w:tcBorders>
              <w:top w:val="nil"/>
              <w:left w:val="nil"/>
              <w:bottom w:val="single" w:color="auto" w:sz="4" w:space="0"/>
              <w:right w:val="single" w:color="auto" w:sz="4" w:space="0"/>
            </w:tcBorders>
            <w:shd w:val="clear" w:color="000000" w:fill="F2F2F2"/>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让爱国主义旗帜始终在心中高高飘扬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刘树宏，中央民族大学马克思主义学院教授、硕士生导师、北京市高教学会《思想道德修养与法律基础》研究会副秘书长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社会主义核心价值观的爱国问题</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宇文利，研究员、教授、博士生导师，现任北京大学马克思主义学院思想政治教育研究所所长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弘扬爱国主义精神 建设航天强国</w:t>
            </w:r>
          </w:p>
        </w:tc>
        <w:tc>
          <w:tcPr>
            <w:tcW w:w="4536"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kern w:val="0"/>
                <w:sz w:val="20"/>
                <w:szCs w:val="20"/>
              </w:rPr>
            </w:pPr>
            <w:r>
              <w:rPr>
                <w:rFonts w:hint="eastAsia" w:ascii="宋体" w:hAnsi="宋体" w:eastAsia="宋体" w:cs="宋体"/>
                <w:kern w:val="0"/>
                <w:sz w:val="20"/>
                <w:szCs w:val="20"/>
              </w:rPr>
              <w:t>梁小虹，第十一届、十二届全国政协委员，第十三届、十四届北京市人大代表，中国运载火箭技术研究院原党委书记兼副院长、研究员，中国高科技产业化研究会党委书记、常务副理事长兼航天精神研究分会会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英烈精神解读及其在新时代的传承和弘扬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李松林，首都师范大学马克思主义学院原院长、教授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建设美丽中国</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井文涌， 清华大学教授，兼任国家环境保护部科学技术委员、国家环境保护部战略环境影响评价专家咨询委员会会委员</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780" w:hRule="atLeast"/>
        </w:trPr>
        <w:tc>
          <w:tcPr>
            <w:tcW w:w="8931" w:type="dxa"/>
            <w:gridSpan w:val="4"/>
            <w:tcBorders>
              <w:top w:val="single" w:color="auto" w:sz="4" w:space="0"/>
              <w:left w:val="single" w:color="auto" w:sz="4" w:space="0"/>
              <w:bottom w:val="single" w:color="auto" w:sz="4" w:space="0"/>
              <w:right w:val="single" w:color="auto" w:sz="4" w:space="0"/>
            </w:tcBorders>
            <w:shd w:val="clear" w:color="000000" w:fill="FCD5B4"/>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xml:space="preserve">        专题六 《民法典》专题课程目录（7门，21课时）</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《民法典》总则编的重要制 度理解与适用</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薛军，北京大学法学院副院长，教授，博士生 导师，北京大学电子商务法研究中心主任，全 国人大财经委立法专家顾问</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《民法典》体系中的物权制 度之理解——以所有权和用 益物权为视角</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费安玲，中国政法大学法学教授，中国民法典 草案论证专家，最高法院案例指导工作专家， 中国民法学研究会常务理事</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《民法典》合同编的主要创新</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石佳友，中国人民大学法学院教授，民商事法 律科学研究中心执行主任</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《民法典》人格权编的规范解读</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刘智慧，中国政法大学教授，法律硕士学院副 院长。北京市债法学研究会副会长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《民法典》婚姻家庭编的制度创新与法律适用</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龙翼飞，中国人民大学法学院教授，博士研究 生导师，中国法学会婚姻家庭法学研究会常务 副会长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《民法典》继承编的制度创新与法律适用</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龙翼飞，中国人民大学法学院教授，博士研究 生导师，中国法学会婚姻家庭法学研究会常务 副会长</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780"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11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《民法典》侵权责任编主要条文的理解与适用</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尹志强，中国政法大学民商经济法学院教授， 博士生导师，中国民法学研究会理事，中国法 学会民法典编纂专项小组成员</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40038"/>
    <w:rsid w:val="46840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2021-03-16T03:23:00Z</dcterms:created>
  <dc:creator>hp</dc:creator>
  <cp:lastModifiedBy>hp</cp:lastModifiedBy>
  <dcterms:modified xsi:type="dcterms:W3CDTF">2021-03-16T03:24:35Z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